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4E" w:rsidRDefault="00260B4E" w:rsidP="00260B4E">
      <w:pPr>
        <w:pStyle w:val="Heading2"/>
        <w:ind w:right="141"/>
        <w:rPr>
          <w:rFonts w:eastAsia="Times New Roman"/>
        </w:rPr>
      </w:pPr>
      <w:bookmarkStart w:id="1" w:name="_Toc279153288"/>
      <w:bookmarkStart w:id="2" w:name="_Toc281474016"/>
      <w:r w:rsidRPr="00260B4E">
        <w:rPr>
          <w:rFonts w:eastAsia="Times New Roman"/>
        </w:rPr>
        <w:t>If you are helping someone complete their OCAN Consumer Self-Assessment…</w:t>
      </w:r>
    </w:p>
    <w:p w:rsidR="00260B4E" w:rsidRPr="00260B4E" w:rsidRDefault="00260B4E" w:rsidP="00260B4E">
      <w:pPr>
        <w:tabs>
          <w:tab w:val="left" w:pos="360"/>
        </w:tabs>
        <w:spacing w:before="240" w:after="240" w:line="240" w:lineRule="auto"/>
        <w:rPr>
          <w:rFonts w:ascii="Arial" w:eastAsia="Times New Roman" w:hAnsi="Arial" w:cs="Arial"/>
          <w:sz w:val="24"/>
        </w:rPr>
      </w:pPr>
      <w:r w:rsidRPr="00260B4E">
        <w:rPr>
          <w:rFonts w:ascii="Arial" w:eastAsia="Times New Roman" w:hAnsi="Arial" w:cs="Arial"/>
          <w:sz w:val="24"/>
        </w:rPr>
        <w:t xml:space="preserve">Thank you for being willing to help this person gain the benefits of the Ontario Common Assessment of Need (OCAN) assessment process. Here is information for you in your role as a helper. </w:t>
      </w:r>
    </w:p>
    <w:p w:rsidR="00260B4E" w:rsidRPr="00260B4E" w:rsidRDefault="00260B4E" w:rsidP="00260B4E">
      <w:pPr>
        <w:tabs>
          <w:tab w:val="left" w:pos="360"/>
        </w:tabs>
        <w:spacing w:before="40" w:after="240" w:line="240" w:lineRule="auto"/>
        <w:rPr>
          <w:rFonts w:ascii="Arial" w:eastAsia="Times New Roman" w:hAnsi="Arial" w:cs="Arial"/>
          <w:sz w:val="24"/>
        </w:rPr>
      </w:pPr>
      <w:r w:rsidRPr="00260B4E">
        <w:rPr>
          <w:rFonts w:ascii="Arial" w:eastAsia="Times New Roman" w:hAnsi="Arial" w:cs="Arial"/>
          <w:sz w:val="24"/>
        </w:rPr>
        <w:t>The consumer/client needs to understand the purpose and intent of the assessment. You will find these details are on the front page of the self-assessment.</w:t>
      </w:r>
    </w:p>
    <w:p w:rsidR="00260B4E" w:rsidRPr="00260B4E" w:rsidRDefault="00260B4E" w:rsidP="00260B4E">
      <w:pPr>
        <w:tabs>
          <w:tab w:val="left" w:pos="360"/>
        </w:tabs>
        <w:spacing w:before="40" w:after="240" w:line="240" w:lineRule="auto"/>
        <w:rPr>
          <w:rFonts w:ascii="Arial" w:eastAsia="Times New Roman" w:hAnsi="Arial" w:cs="Arial"/>
          <w:sz w:val="24"/>
        </w:rPr>
      </w:pPr>
      <w:r w:rsidRPr="00260B4E">
        <w:rPr>
          <w:rFonts w:ascii="Arial" w:eastAsia="Times New Roman" w:hAnsi="Arial" w:cs="Arial"/>
          <w:sz w:val="24"/>
        </w:rPr>
        <w:t xml:space="preserve">The consumer/client needs to understand how to complete the self assessment. You will find this instructions on the top of the self-assessment form. </w:t>
      </w:r>
    </w:p>
    <w:p w:rsidR="00260B4E" w:rsidRPr="00260B4E" w:rsidRDefault="00260B4E" w:rsidP="00260B4E">
      <w:pPr>
        <w:tabs>
          <w:tab w:val="left" w:pos="360"/>
        </w:tabs>
        <w:spacing w:before="40" w:after="240" w:line="240" w:lineRule="auto"/>
        <w:rPr>
          <w:rFonts w:ascii="Arial" w:eastAsia="Times New Roman" w:hAnsi="Arial" w:cs="Arial"/>
          <w:sz w:val="24"/>
        </w:rPr>
      </w:pPr>
      <w:r w:rsidRPr="00260B4E">
        <w:rPr>
          <w:rFonts w:ascii="Arial" w:eastAsia="Times New Roman" w:hAnsi="Arial" w:cs="Arial"/>
          <w:sz w:val="24"/>
        </w:rPr>
        <w:t>The value of the self-assessment comes from consumers expressing their own opinions on their needs. So, when you interpret or explain a domain and its trigger question to the consumer, please:</w:t>
      </w:r>
    </w:p>
    <w:p w:rsidR="00260B4E" w:rsidRPr="00260B4E" w:rsidRDefault="00260B4E" w:rsidP="00260B4E">
      <w:pPr>
        <w:pStyle w:val="ListParagraph"/>
        <w:numPr>
          <w:ilvl w:val="0"/>
          <w:numId w:val="6"/>
        </w:numPr>
        <w:tabs>
          <w:tab w:val="left" w:pos="360"/>
          <w:tab w:val="num" w:pos="1080"/>
        </w:tabs>
        <w:spacing w:after="0" w:line="240" w:lineRule="auto"/>
        <w:rPr>
          <w:rFonts w:ascii="Arial" w:eastAsia="Times New Roman" w:hAnsi="Arial" w:cs="Arial"/>
          <w:sz w:val="24"/>
        </w:rPr>
      </w:pPr>
      <w:r w:rsidRPr="00260B4E">
        <w:rPr>
          <w:rFonts w:ascii="Arial" w:eastAsia="Times New Roman" w:hAnsi="Arial" w:cs="Arial"/>
          <w:sz w:val="24"/>
        </w:rPr>
        <w:t xml:space="preserve">be careful not to influence how the consumer sees his/her needs at this time, </w:t>
      </w:r>
    </w:p>
    <w:p w:rsidR="00260B4E" w:rsidRPr="00260B4E" w:rsidRDefault="00260B4E" w:rsidP="00260B4E">
      <w:pPr>
        <w:pStyle w:val="ListParagraph"/>
        <w:numPr>
          <w:ilvl w:val="0"/>
          <w:numId w:val="6"/>
        </w:numPr>
        <w:tabs>
          <w:tab w:val="left" w:pos="360"/>
          <w:tab w:val="num" w:pos="1080"/>
        </w:tabs>
        <w:spacing w:after="0" w:line="240" w:lineRule="auto"/>
        <w:rPr>
          <w:rFonts w:ascii="Arial" w:eastAsia="Times New Roman" w:hAnsi="Arial" w:cs="Arial"/>
          <w:sz w:val="24"/>
        </w:rPr>
      </w:pPr>
      <w:r w:rsidRPr="00260B4E">
        <w:rPr>
          <w:rFonts w:ascii="Arial" w:eastAsia="Times New Roman" w:hAnsi="Arial" w:cs="Arial"/>
          <w:sz w:val="24"/>
        </w:rPr>
        <w:t>use a neutral tone of voice,</w:t>
      </w:r>
    </w:p>
    <w:p w:rsidR="00260B4E" w:rsidRPr="00260B4E" w:rsidRDefault="00260B4E" w:rsidP="00260B4E">
      <w:pPr>
        <w:pStyle w:val="ListParagraph"/>
        <w:numPr>
          <w:ilvl w:val="0"/>
          <w:numId w:val="6"/>
        </w:numPr>
        <w:tabs>
          <w:tab w:val="left" w:pos="360"/>
          <w:tab w:val="num" w:pos="1080"/>
        </w:tabs>
        <w:spacing w:after="0" w:line="240" w:lineRule="auto"/>
        <w:rPr>
          <w:rFonts w:ascii="Arial" w:eastAsia="Times New Roman" w:hAnsi="Arial" w:cs="Arial"/>
          <w:sz w:val="24"/>
        </w:rPr>
      </w:pPr>
      <w:r w:rsidRPr="00260B4E">
        <w:rPr>
          <w:rFonts w:ascii="Arial" w:eastAsia="Times New Roman" w:hAnsi="Arial" w:cs="Arial"/>
          <w:sz w:val="24"/>
        </w:rPr>
        <w:t>keep your own personal experience out of the discussion.</w:t>
      </w:r>
    </w:p>
    <w:p w:rsidR="00260B4E" w:rsidRPr="00260B4E" w:rsidRDefault="00260B4E" w:rsidP="00260B4E">
      <w:pPr>
        <w:tabs>
          <w:tab w:val="left" w:pos="360"/>
        </w:tabs>
        <w:spacing w:before="360" w:after="240" w:line="240" w:lineRule="auto"/>
        <w:rPr>
          <w:rFonts w:ascii="Arial" w:eastAsia="Times New Roman" w:hAnsi="Arial" w:cs="Arial"/>
          <w:sz w:val="24"/>
        </w:rPr>
      </w:pPr>
      <w:r w:rsidRPr="00260B4E">
        <w:rPr>
          <w:rFonts w:ascii="Arial" w:eastAsia="Times New Roman" w:hAnsi="Arial" w:cs="Arial"/>
          <w:sz w:val="24"/>
        </w:rPr>
        <w:t xml:space="preserve">The consumer can choose: </w:t>
      </w:r>
    </w:p>
    <w:p w:rsidR="00260B4E" w:rsidRPr="00260B4E" w:rsidRDefault="00260B4E" w:rsidP="00260B4E">
      <w:pPr>
        <w:pStyle w:val="ListParagraph"/>
        <w:numPr>
          <w:ilvl w:val="0"/>
          <w:numId w:val="7"/>
        </w:numPr>
        <w:tabs>
          <w:tab w:val="left" w:pos="360"/>
          <w:tab w:val="num" w:pos="1080"/>
        </w:tabs>
        <w:spacing w:after="0" w:line="240" w:lineRule="auto"/>
        <w:ind w:left="709"/>
        <w:rPr>
          <w:rFonts w:ascii="Arial" w:eastAsia="Times New Roman" w:hAnsi="Arial" w:cs="Arial"/>
          <w:sz w:val="24"/>
        </w:rPr>
      </w:pPr>
      <w:r w:rsidRPr="00260B4E">
        <w:rPr>
          <w:rFonts w:ascii="Arial" w:eastAsia="Times New Roman" w:hAnsi="Arial" w:cs="Arial"/>
          <w:sz w:val="24"/>
        </w:rPr>
        <w:t>whether or not to complete the self-assessment.  It is not a requirement for access to service.</w:t>
      </w:r>
    </w:p>
    <w:p w:rsidR="00260B4E" w:rsidRPr="00260B4E" w:rsidRDefault="00260B4E" w:rsidP="00260B4E">
      <w:pPr>
        <w:pStyle w:val="ListParagraph"/>
        <w:numPr>
          <w:ilvl w:val="0"/>
          <w:numId w:val="7"/>
        </w:numPr>
        <w:tabs>
          <w:tab w:val="left" w:pos="360"/>
          <w:tab w:val="num" w:pos="1080"/>
        </w:tabs>
        <w:spacing w:after="0" w:line="240" w:lineRule="auto"/>
        <w:ind w:left="709"/>
        <w:rPr>
          <w:rFonts w:ascii="Arial" w:eastAsia="Times New Roman" w:hAnsi="Arial" w:cs="Arial"/>
          <w:sz w:val="24"/>
        </w:rPr>
      </w:pPr>
      <w:r w:rsidRPr="00260B4E">
        <w:rPr>
          <w:rFonts w:ascii="Arial" w:eastAsia="Times New Roman" w:hAnsi="Arial" w:cs="Arial"/>
          <w:sz w:val="24"/>
        </w:rPr>
        <w:t xml:space="preserve">where to complete it. The consumer needs to be comfortable and have privacy. </w:t>
      </w:r>
    </w:p>
    <w:p w:rsidR="00260B4E" w:rsidRPr="00260B4E" w:rsidRDefault="00260B4E" w:rsidP="00260B4E">
      <w:pPr>
        <w:pStyle w:val="ListParagraph"/>
        <w:numPr>
          <w:ilvl w:val="0"/>
          <w:numId w:val="7"/>
        </w:numPr>
        <w:tabs>
          <w:tab w:val="left" w:pos="360"/>
          <w:tab w:val="num" w:pos="1080"/>
        </w:tabs>
        <w:spacing w:after="0" w:line="240" w:lineRule="auto"/>
        <w:ind w:left="709"/>
        <w:rPr>
          <w:rFonts w:ascii="Arial" w:eastAsia="Times New Roman" w:hAnsi="Arial" w:cs="Arial"/>
          <w:sz w:val="24"/>
        </w:rPr>
      </w:pPr>
      <w:r w:rsidRPr="00260B4E">
        <w:rPr>
          <w:rFonts w:ascii="Arial" w:eastAsia="Times New Roman" w:hAnsi="Arial" w:cs="Arial"/>
          <w:sz w:val="24"/>
        </w:rPr>
        <w:t>whether to complete it on paper or on the agency’s computer if that option is available. You may need to help with entering information.</w:t>
      </w:r>
    </w:p>
    <w:p w:rsidR="00260B4E" w:rsidRPr="00260B4E" w:rsidRDefault="00260B4E" w:rsidP="00260B4E">
      <w:pPr>
        <w:pStyle w:val="ListParagraph"/>
        <w:numPr>
          <w:ilvl w:val="0"/>
          <w:numId w:val="7"/>
        </w:numPr>
        <w:tabs>
          <w:tab w:val="left" w:pos="360"/>
          <w:tab w:val="num" w:pos="1080"/>
        </w:tabs>
        <w:spacing w:after="0" w:line="240" w:lineRule="auto"/>
        <w:ind w:left="709"/>
        <w:rPr>
          <w:rFonts w:ascii="Arial" w:eastAsia="Times New Roman" w:hAnsi="Arial" w:cs="Arial"/>
          <w:sz w:val="24"/>
        </w:rPr>
      </w:pPr>
      <w:r w:rsidRPr="00260B4E">
        <w:rPr>
          <w:rFonts w:ascii="Arial" w:eastAsia="Times New Roman" w:hAnsi="Arial" w:cs="Arial"/>
          <w:sz w:val="24"/>
        </w:rPr>
        <w:t>how much time he/she needs to complete it. It may take more than one session.</w:t>
      </w:r>
    </w:p>
    <w:p w:rsidR="00260B4E" w:rsidRPr="00260B4E" w:rsidRDefault="00260B4E" w:rsidP="00260B4E">
      <w:pPr>
        <w:pStyle w:val="ListParagraph"/>
        <w:numPr>
          <w:ilvl w:val="0"/>
          <w:numId w:val="7"/>
        </w:numPr>
        <w:tabs>
          <w:tab w:val="left" w:pos="360"/>
          <w:tab w:val="num" w:pos="1080"/>
        </w:tabs>
        <w:spacing w:after="0" w:line="240" w:lineRule="auto"/>
        <w:ind w:left="709"/>
        <w:rPr>
          <w:rFonts w:ascii="Arial" w:eastAsia="Times New Roman" w:hAnsi="Arial" w:cs="Arial"/>
          <w:sz w:val="24"/>
        </w:rPr>
      </w:pPr>
      <w:r w:rsidRPr="00260B4E">
        <w:rPr>
          <w:rFonts w:ascii="Arial" w:eastAsia="Times New Roman" w:hAnsi="Arial" w:cs="Arial"/>
          <w:sz w:val="24"/>
        </w:rPr>
        <w:t xml:space="preserve">how much information to provide at this time. “I don’t want to answer” is a valid response for any of the 24 domain questions. </w:t>
      </w:r>
    </w:p>
    <w:p w:rsidR="00260B4E" w:rsidRPr="00260B4E" w:rsidRDefault="00260B4E" w:rsidP="00260B4E">
      <w:pPr>
        <w:tabs>
          <w:tab w:val="left" w:pos="360"/>
        </w:tabs>
        <w:spacing w:before="120" w:after="240" w:line="240" w:lineRule="auto"/>
        <w:rPr>
          <w:rFonts w:ascii="Arial" w:eastAsia="Times New Roman" w:hAnsi="Arial" w:cs="Arial"/>
          <w:sz w:val="24"/>
        </w:rPr>
      </w:pPr>
      <w:r w:rsidRPr="00260B4E">
        <w:rPr>
          <w:rFonts w:ascii="Arial" w:eastAsia="Times New Roman" w:hAnsi="Arial" w:cs="Arial"/>
          <w:sz w:val="24"/>
        </w:rPr>
        <w:t>If you are asked any questions you are unsure about answering accurately or clearly, an OCAN-trained staff member will be pleased to give you further information.</w:t>
      </w:r>
    </w:p>
    <w:p w:rsidR="00260B4E" w:rsidRDefault="00260B4E" w:rsidP="00260B4E">
      <w:pPr>
        <w:tabs>
          <w:tab w:val="left" w:pos="360"/>
        </w:tabs>
        <w:spacing w:before="40" w:after="240" w:line="240" w:lineRule="auto"/>
        <w:rPr>
          <w:rFonts w:ascii="Arial" w:eastAsia="Times New Roman" w:hAnsi="Arial" w:cs="Arial"/>
          <w:sz w:val="24"/>
        </w:rPr>
      </w:pPr>
      <w:r w:rsidRPr="00260B4E">
        <w:rPr>
          <w:rFonts w:ascii="Arial" w:eastAsia="Times New Roman" w:hAnsi="Arial" w:cs="Arial"/>
          <w:sz w:val="24"/>
        </w:rPr>
        <w:t xml:space="preserve">Again, thank you for your willingness to help the consumer. </w:t>
      </w:r>
    </w:p>
    <w:p w:rsidR="00260B4E" w:rsidRPr="00260B4E" w:rsidRDefault="00260B4E" w:rsidP="00260B4E">
      <w:pPr>
        <w:pBdr>
          <w:top w:val="single" w:sz="4" w:space="1" w:color="auto"/>
          <w:left w:val="single" w:sz="4" w:space="4" w:color="auto"/>
          <w:bottom w:val="single" w:sz="4" w:space="1" w:color="auto"/>
          <w:right w:val="single" w:sz="4" w:space="4" w:color="auto"/>
        </w:pBdr>
        <w:shd w:val="clear" w:color="auto" w:fill="BDD6EE" w:themeFill="accent5" w:themeFillTint="66"/>
        <w:tabs>
          <w:tab w:val="left" w:pos="360"/>
        </w:tabs>
        <w:spacing w:after="120" w:line="240" w:lineRule="auto"/>
        <w:rPr>
          <w:rFonts w:ascii="Arial" w:eastAsia="Times New Roman" w:hAnsi="Arial" w:cs="Arial"/>
          <w:sz w:val="24"/>
        </w:rPr>
      </w:pPr>
      <w:r w:rsidRPr="00260B4E">
        <w:rPr>
          <w:rFonts w:ascii="Arial" w:eastAsia="Times New Roman" w:hAnsi="Arial" w:cs="Arial"/>
          <w:sz w:val="24"/>
        </w:rPr>
        <w:t>OCAN:</w:t>
      </w:r>
    </w:p>
    <w:p w:rsidR="00260B4E" w:rsidRPr="00260B4E" w:rsidRDefault="00260B4E" w:rsidP="00260B4E">
      <w:pPr>
        <w:pBdr>
          <w:top w:val="single" w:sz="4" w:space="1" w:color="auto"/>
          <w:left w:val="single" w:sz="4" w:space="4" w:color="auto"/>
          <w:bottom w:val="single" w:sz="4" w:space="1" w:color="auto"/>
          <w:right w:val="single" w:sz="4" w:space="4" w:color="auto"/>
        </w:pBdr>
        <w:shd w:val="clear" w:color="auto" w:fill="BDD6EE" w:themeFill="accent5" w:themeFillTint="66"/>
        <w:tabs>
          <w:tab w:val="left" w:pos="360"/>
        </w:tabs>
        <w:spacing w:after="120" w:line="240" w:lineRule="auto"/>
        <w:rPr>
          <w:rFonts w:ascii="Arial" w:eastAsia="Times New Roman" w:hAnsi="Arial" w:cs="Arial"/>
          <w:sz w:val="24"/>
        </w:rPr>
      </w:pPr>
      <w:r w:rsidRPr="00260B4E">
        <w:rPr>
          <w:rFonts w:ascii="Arial" w:eastAsia="Times New Roman" w:hAnsi="Arial" w:cs="Arial"/>
          <w:sz w:val="24"/>
        </w:rPr>
        <w:t>Gives consumers an effective way to voice their needs and preferences</w:t>
      </w:r>
    </w:p>
    <w:p w:rsidR="00260B4E" w:rsidRPr="00260B4E" w:rsidRDefault="00260B4E" w:rsidP="00260B4E">
      <w:pPr>
        <w:pBdr>
          <w:top w:val="single" w:sz="4" w:space="1" w:color="auto"/>
          <w:left w:val="single" w:sz="4" w:space="4" w:color="auto"/>
          <w:bottom w:val="single" w:sz="4" w:space="1" w:color="auto"/>
          <w:right w:val="single" w:sz="4" w:space="4" w:color="auto"/>
        </w:pBdr>
        <w:shd w:val="clear" w:color="auto" w:fill="BDD6EE" w:themeFill="accent5" w:themeFillTint="66"/>
        <w:tabs>
          <w:tab w:val="left" w:pos="360"/>
        </w:tabs>
        <w:spacing w:after="120" w:line="240" w:lineRule="auto"/>
        <w:rPr>
          <w:rFonts w:ascii="Arial" w:eastAsia="Times New Roman" w:hAnsi="Arial" w:cs="Arial"/>
          <w:sz w:val="24"/>
        </w:rPr>
      </w:pPr>
      <w:r w:rsidRPr="00260B4E">
        <w:rPr>
          <w:rFonts w:ascii="Arial" w:eastAsia="Times New Roman" w:hAnsi="Arial" w:cs="Arial"/>
          <w:sz w:val="24"/>
        </w:rPr>
        <w:t xml:space="preserve">Focuses on consumer needs in many areas of life </w:t>
      </w:r>
      <w:bookmarkStart w:id="3" w:name="_GoBack"/>
      <w:bookmarkEnd w:id="3"/>
      <w:r w:rsidRPr="00260B4E">
        <w:rPr>
          <w:rFonts w:ascii="Arial" w:eastAsia="Times New Roman" w:hAnsi="Arial" w:cs="Arial"/>
          <w:sz w:val="24"/>
        </w:rPr>
        <w:t>rather than symptoms</w:t>
      </w:r>
    </w:p>
    <w:p w:rsidR="00260B4E" w:rsidRDefault="00260B4E" w:rsidP="00260B4E">
      <w:pPr>
        <w:pBdr>
          <w:top w:val="single" w:sz="4" w:space="1" w:color="auto"/>
          <w:left w:val="single" w:sz="4" w:space="4" w:color="auto"/>
          <w:bottom w:val="single" w:sz="4" w:space="1" w:color="auto"/>
          <w:right w:val="single" w:sz="4" w:space="4" w:color="auto"/>
        </w:pBdr>
        <w:shd w:val="clear" w:color="auto" w:fill="BDD6EE" w:themeFill="accent5" w:themeFillTint="66"/>
        <w:tabs>
          <w:tab w:val="left" w:pos="360"/>
        </w:tabs>
        <w:spacing w:after="120" w:line="240" w:lineRule="auto"/>
        <w:rPr>
          <w:rFonts w:ascii="Arial" w:eastAsia="Times New Roman" w:hAnsi="Arial" w:cs="Arial"/>
          <w:sz w:val="24"/>
        </w:rPr>
      </w:pPr>
      <w:r w:rsidRPr="00260B4E">
        <w:rPr>
          <w:rFonts w:ascii="Arial" w:eastAsia="Times New Roman" w:hAnsi="Arial" w:cs="Arial"/>
          <w:sz w:val="24"/>
        </w:rPr>
        <w:t>Formally gives consumers participation in directing the help they will receive</w:t>
      </w:r>
      <w:bookmarkEnd w:id="1"/>
      <w:bookmarkEnd w:id="2"/>
    </w:p>
    <w:p w:rsidR="00260B4E" w:rsidRPr="00260B4E" w:rsidRDefault="00260B4E" w:rsidP="00260B4E">
      <w:pPr>
        <w:pBdr>
          <w:top w:val="single" w:sz="4" w:space="1" w:color="auto"/>
          <w:left w:val="single" w:sz="4" w:space="4" w:color="auto"/>
          <w:bottom w:val="single" w:sz="4" w:space="1" w:color="auto"/>
          <w:right w:val="single" w:sz="4" w:space="4" w:color="auto"/>
        </w:pBdr>
        <w:shd w:val="clear" w:color="auto" w:fill="BDD6EE" w:themeFill="accent5" w:themeFillTint="66"/>
        <w:tabs>
          <w:tab w:val="left" w:pos="360"/>
        </w:tabs>
        <w:spacing w:after="120" w:line="240" w:lineRule="auto"/>
        <w:rPr>
          <w:rFonts w:ascii="Arial" w:eastAsia="Times New Roman" w:hAnsi="Arial" w:cs="Arial"/>
          <w:sz w:val="24"/>
        </w:rPr>
      </w:pPr>
    </w:p>
    <w:sectPr w:rsidR="00260B4E" w:rsidRPr="00260B4E" w:rsidSect="00260B4E">
      <w:headerReference w:type="default" r:id="rId7"/>
      <w:footerReference w:type="default" r:id="rId8"/>
      <w:pgSz w:w="12240" w:h="15840"/>
      <w:pgMar w:top="1702" w:right="900" w:bottom="709" w:left="1134" w:header="28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463" w:rsidRDefault="00943463" w:rsidP="00C7176C">
      <w:pPr>
        <w:spacing w:after="0" w:line="240" w:lineRule="auto"/>
      </w:pPr>
      <w:r>
        <w:separator/>
      </w:r>
    </w:p>
  </w:endnote>
  <w:endnote w:type="continuationSeparator" w:id="0">
    <w:p w:rsidR="00943463" w:rsidRDefault="00943463" w:rsidP="00C7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0B" w:rsidRDefault="00260B4E" w:rsidP="00260B4E">
    <w:pPr>
      <w:pStyle w:val="Footer"/>
      <w:ind w:left="-567"/>
    </w:pPr>
    <w:r>
      <w:rPr>
        <w:noProof/>
      </w:rPr>
      <w:drawing>
        <wp:inline distT="0" distB="0" distL="0" distR="0" wp14:anchorId="5B622E1B" wp14:editId="608F9AD2">
          <wp:extent cx="2069465" cy="255270"/>
          <wp:effectExtent l="0" t="0" r="0" b="0"/>
          <wp:docPr id="21" name="Picture 21" descr="Community Care Information Management" title="CC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GIF.gif"/>
                  <pic:cNvPicPr/>
                </pic:nvPicPr>
                <pic:blipFill>
                  <a:blip r:embed="rId1">
                    <a:extLst>
                      <a:ext uri="{28A0092B-C50C-407E-A947-70E740481C1C}">
                        <a14:useLocalDpi xmlns:a14="http://schemas.microsoft.com/office/drawing/2010/main" val="0"/>
                      </a:ext>
                    </a:extLst>
                  </a:blip>
                  <a:stretch>
                    <a:fillRect/>
                  </a:stretch>
                </pic:blipFill>
                <pic:spPr>
                  <a:xfrm>
                    <a:off x="0" y="0"/>
                    <a:ext cx="2069465" cy="255270"/>
                  </a:xfrm>
                  <a:prstGeom prst="rect">
                    <a:avLst/>
                  </a:prstGeom>
                </pic:spPr>
              </pic:pic>
            </a:graphicData>
          </a:graphic>
        </wp:inline>
      </w:drawing>
    </w:r>
    <w:r w:rsidR="00A47EAC" w:rsidRPr="00317881">
      <w:rPr>
        <w:noProof/>
        <w:sz w:val="20"/>
      </w:rPr>
      <w:drawing>
        <wp:inline distT="0" distB="0" distL="0" distR="0" wp14:anchorId="50A2BB06">
          <wp:extent cx="7134225" cy="419100"/>
          <wp:effectExtent l="0" t="0" r="952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rotWithShape="1">
                  <a:blip r:embed="rId2" cstate="print">
                    <a:extLst>
                      <a:ext uri="{28A0092B-C50C-407E-A947-70E740481C1C}">
                        <a14:useLocalDpi xmlns:a14="http://schemas.microsoft.com/office/drawing/2010/main" val="0"/>
                      </a:ext>
                    </a:extLst>
                  </a:blip>
                  <a:srcRect l="1386" t="77152" r="1250" b="12199"/>
                  <a:stretch/>
                </pic:blipFill>
                <pic:spPr bwMode="auto">
                  <a:xfrm>
                    <a:off x="0" y="0"/>
                    <a:ext cx="7134225" cy="4191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463" w:rsidRDefault="00943463" w:rsidP="00C7176C">
      <w:pPr>
        <w:spacing w:after="0" w:line="240" w:lineRule="auto"/>
      </w:pPr>
      <w:bookmarkStart w:id="0" w:name="_Hlk41317163"/>
      <w:bookmarkEnd w:id="0"/>
      <w:r>
        <w:separator/>
      </w:r>
    </w:p>
  </w:footnote>
  <w:footnote w:type="continuationSeparator" w:id="0">
    <w:p w:rsidR="00943463" w:rsidRDefault="00943463" w:rsidP="00C7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0B" w:rsidRDefault="0070030B" w:rsidP="0070030B">
    <w:pPr>
      <w:pStyle w:val="Header"/>
      <w:tabs>
        <w:tab w:val="clear" w:pos="4680"/>
        <w:tab w:val="clear" w:pos="9360"/>
        <w:tab w:val="left" w:pos="4830"/>
        <w:tab w:val="center" w:pos="5040"/>
      </w:tabs>
      <w:jc w:val="right"/>
      <w:rPr>
        <w:rFonts w:cs="Arial"/>
        <w:b/>
        <w:bCs/>
      </w:rPr>
    </w:pPr>
  </w:p>
  <w:p w:rsidR="0070030B" w:rsidRDefault="0070030B" w:rsidP="0070030B">
    <w:pPr>
      <w:pStyle w:val="Header"/>
      <w:tabs>
        <w:tab w:val="clear" w:pos="4680"/>
        <w:tab w:val="clear" w:pos="9360"/>
        <w:tab w:val="left" w:pos="4830"/>
        <w:tab w:val="center" w:pos="5040"/>
        <w:tab w:val="left" w:pos="8505"/>
      </w:tabs>
      <w:rPr>
        <w:rFonts w:cs="Arial"/>
        <w:b/>
        <w:bCs/>
      </w:rPr>
    </w:pPr>
    <w:r w:rsidRPr="001E4ECC">
      <w:rPr>
        <w:rFonts w:cs="Arial"/>
        <w:b/>
        <w:bCs/>
      </w:rPr>
      <w:t>Ministry of Health</w:t>
    </w:r>
  </w:p>
  <w:p w:rsidR="0070030B" w:rsidRDefault="0070030B" w:rsidP="0070030B">
    <w:pPr>
      <w:pStyle w:val="Header"/>
      <w:tabs>
        <w:tab w:val="clear" w:pos="4680"/>
        <w:tab w:val="clear" w:pos="9360"/>
        <w:tab w:val="left" w:pos="4830"/>
        <w:tab w:val="center" w:pos="5040"/>
        <w:tab w:val="left" w:pos="8505"/>
      </w:tabs>
    </w:pPr>
    <w:r w:rsidRPr="0070030B">
      <w:rPr>
        <w:rFonts w:cs="Arial"/>
        <w:b/>
        <w:bCs/>
      </w:rPr>
      <w:t>Ontario Common Assessment of Need (OCAN)</w:t>
    </w:r>
    <w:r>
      <w:rPr>
        <w:rFonts w:cs="Arial"/>
        <w:b/>
        <w:bCs/>
      </w:rPr>
      <w:tab/>
    </w:r>
    <w:r>
      <w:rPr>
        <w:rFonts w:cs="Arial"/>
        <w:b/>
        <w:bCs/>
      </w:rPr>
      <w:tab/>
    </w:r>
    <w:r>
      <w:rPr>
        <w:rFonts w:cs="Arial"/>
        <w:b/>
        <w:bCs/>
      </w:rPr>
      <w:tab/>
    </w:r>
    <w:r>
      <w:rPr>
        <w:rFonts w:ascii="Source Sans Pro" w:hAnsi="Source Sans Pro" w:cs="Arial"/>
        <w:noProof/>
        <w:color w:val="444444"/>
      </w:rPr>
      <w:drawing>
        <wp:inline distT="0" distB="0" distL="0" distR="0" wp14:anchorId="1EC3C687" wp14:editId="57A3DD58">
          <wp:extent cx="1020816" cy="266700"/>
          <wp:effectExtent l="0" t="0" r="8255" b="0"/>
          <wp:docPr id="20" name="Picture 20"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O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320" cy="280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40ADC"/>
    <w:multiLevelType w:val="hybridMultilevel"/>
    <w:tmpl w:val="968887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5D1246"/>
    <w:multiLevelType w:val="hybridMultilevel"/>
    <w:tmpl w:val="95AC966E"/>
    <w:lvl w:ilvl="0" w:tplc="AB7889A6">
      <w:start w:val="1"/>
      <w:numFmt w:val="bullet"/>
      <w:pStyle w:val="CCIM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0A364A"/>
    <w:multiLevelType w:val="hybridMultilevel"/>
    <w:tmpl w:val="F2E03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554ED3"/>
    <w:multiLevelType w:val="hybridMultilevel"/>
    <w:tmpl w:val="7A9E5B76"/>
    <w:lvl w:ilvl="0" w:tplc="351CCA64">
      <w:start w:val="1"/>
      <w:numFmt w:val="bullet"/>
      <w:lvlText w:val="•"/>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C8D3886"/>
    <w:multiLevelType w:val="hybridMultilevel"/>
    <w:tmpl w:val="3586C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D33916"/>
    <w:multiLevelType w:val="hybridMultilevel"/>
    <w:tmpl w:val="7872320A"/>
    <w:lvl w:ilvl="0" w:tplc="D23E417E">
      <w:start w:val="1"/>
      <w:numFmt w:val="bullet"/>
      <w:lvlText w:val=""/>
      <w:lvlJc w:val="left"/>
      <w:pPr>
        <w:tabs>
          <w:tab w:val="num" w:pos="1080"/>
        </w:tabs>
        <w:ind w:left="1080" w:hanging="360"/>
      </w:pPr>
      <w:rPr>
        <w:rFonts w:ascii="Symbol" w:hAnsi="Symbol" w:hint="default"/>
        <w:color w:val="FFFFFF"/>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CA255E"/>
    <w:multiLevelType w:val="hybridMultilevel"/>
    <w:tmpl w:val="8A30B34C"/>
    <w:lvl w:ilvl="0" w:tplc="351CCA64">
      <w:start w:val="1"/>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6C"/>
    <w:rsid w:val="000C5D36"/>
    <w:rsid w:val="001B62CA"/>
    <w:rsid w:val="001C3499"/>
    <w:rsid w:val="001E7AAF"/>
    <w:rsid w:val="00260B4E"/>
    <w:rsid w:val="0038147B"/>
    <w:rsid w:val="003E0FBB"/>
    <w:rsid w:val="00560460"/>
    <w:rsid w:val="006D0FC0"/>
    <w:rsid w:val="006F3C90"/>
    <w:rsid w:val="0070030B"/>
    <w:rsid w:val="0074050B"/>
    <w:rsid w:val="008077D5"/>
    <w:rsid w:val="00943463"/>
    <w:rsid w:val="00990668"/>
    <w:rsid w:val="009B3CE0"/>
    <w:rsid w:val="00A47EAC"/>
    <w:rsid w:val="00A8449B"/>
    <w:rsid w:val="00AA5671"/>
    <w:rsid w:val="00AE3885"/>
    <w:rsid w:val="00B306E0"/>
    <w:rsid w:val="00C032B8"/>
    <w:rsid w:val="00C7176C"/>
    <w:rsid w:val="00D508DD"/>
    <w:rsid w:val="00FB241F"/>
    <w:rsid w:val="00FB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0E3C8"/>
  <w15:chartTrackingRefBased/>
  <w15:docId w15:val="{6BCE8584-DC23-467F-A8D4-78F383AD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76C"/>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7176C"/>
    <w:pPr>
      <w:keepNext/>
      <w:keepLines/>
      <w:pBdr>
        <w:top w:val="single" w:sz="4" w:space="1" w:color="auto"/>
        <w:left w:val="single" w:sz="4" w:space="4" w:color="auto"/>
        <w:bottom w:val="single" w:sz="4" w:space="1" w:color="auto"/>
        <w:right w:val="single" w:sz="4" w:space="4" w:color="auto"/>
      </w:pBdr>
      <w:shd w:val="clear" w:color="auto" w:fill="DEEAF6" w:themeFill="accent5" w:themeFillTint="33"/>
      <w:spacing w:before="240" w:after="120"/>
      <w:ind w:left="567" w:right="3402"/>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76C"/>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C7176C"/>
    <w:rPr>
      <w:rFonts w:ascii="Arial" w:eastAsiaTheme="majorEastAsia" w:hAnsi="Arial" w:cstheme="majorBidi"/>
      <w:color w:val="2F5496" w:themeColor="accent1" w:themeShade="BF"/>
      <w:sz w:val="26"/>
      <w:szCs w:val="26"/>
      <w:shd w:val="clear" w:color="auto" w:fill="DEEAF6" w:themeFill="accent5" w:themeFillTint="33"/>
    </w:rPr>
  </w:style>
  <w:style w:type="paragraph" w:styleId="Header">
    <w:name w:val="header"/>
    <w:basedOn w:val="Normal"/>
    <w:link w:val="HeaderChar"/>
    <w:unhideWhenUsed/>
    <w:rsid w:val="00C7176C"/>
    <w:pPr>
      <w:tabs>
        <w:tab w:val="center" w:pos="4680"/>
        <w:tab w:val="right" w:pos="9360"/>
      </w:tabs>
      <w:spacing w:after="0" w:line="240" w:lineRule="auto"/>
    </w:pPr>
  </w:style>
  <w:style w:type="character" w:customStyle="1" w:styleId="HeaderChar">
    <w:name w:val="Header Char"/>
    <w:basedOn w:val="DefaultParagraphFont"/>
    <w:link w:val="Header"/>
    <w:rsid w:val="00C7176C"/>
  </w:style>
  <w:style w:type="paragraph" w:styleId="Footer">
    <w:name w:val="footer"/>
    <w:basedOn w:val="Normal"/>
    <w:link w:val="FooterChar"/>
    <w:uiPriority w:val="99"/>
    <w:unhideWhenUsed/>
    <w:rsid w:val="00C7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6C"/>
  </w:style>
  <w:style w:type="paragraph" w:styleId="BalloonText">
    <w:name w:val="Balloon Text"/>
    <w:basedOn w:val="Normal"/>
    <w:link w:val="BalloonTextChar"/>
    <w:uiPriority w:val="99"/>
    <w:semiHidden/>
    <w:unhideWhenUsed/>
    <w:rsid w:val="0070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0B"/>
    <w:rPr>
      <w:rFonts w:ascii="Segoe UI" w:hAnsi="Segoe UI" w:cs="Segoe UI"/>
      <w:sz w:val="18"/>
      <w:szCs w:val="18"/>
    </w:rPr>
  </w:style>
  <w:style w:type="paragraph" w:customStyle="1" w:styleId="CCIMBodyText">
    <w:name w:val="CCIM Body Text"/>
    <w:rsid w:val="00260B4E"/>
    <w:pPr>
      <w:tabs>
        <w:tab w:val="left" w:pos="360"/>
      </w:tabs>
      <w:spacing w:before="40" w:after="240" w:line="240" w:lineRule="auto"/>
    </w:pPr>
    <w:rPr>
      <w:rFonts w:ascii="Arial Narrow" w:eastAsia="Times New Roman" w:hAnsi="Arial Narrow" w:cs="Times New Roman"/>
    </w:rPr>
  </w:style>
  <w:style w:type="paragraph" w:customStyle="1" w:styleId="CCIMBulletLevel1">
    <w:name w:val="CCIM Bullet Level 1"/>
    <w:rsid w:val="00260B4E"/>
    <w:pPr>
      <w:numPr>
        <w:numId w:val="1"/>
      </w:numPr>
      <w:tabs>
        <w:tab w:val="left" w:pos="360"/>
      </w:tabs>
      <w:spacing w:after="0" w:line="240" w:lineRule="auto"/>
    </w:pPr>
    <w:rPr>
      <w:rFonts w:ascii="Arial Narrow" w:eastAsia="Times New Roman" w:hAnsi="Arial Narrow" w:cs="Times New Roman"/>
    </w:rPr>
  </w:style>
  <w:style w:type="paragraph" w:styleId="ListParagraph">
    <w:name w:val="List Paragraph"/>
    <w:basedOn w:val="Normal"/>
    <w:uiPriority w:val="34"/>
    <w:qFormat/>
    <w:rsid w:val="0026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1618</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Mansard, Adrian (MOH)</dc:creator>
  <cp:keywords/>
  <dc:description/>
  <cp:lastModifiedBy>Mansard, Adrian (MOH)</cp:lastModifiedBy>
  <cp:revision>2</cp:revision>
  <dcterms:created xsi:type="dcterms:W3CDTF">2020-06-04T19:03:00Z</dcterms:created>
  <dcterms:modified xsi:type="dcterms:W3CDTF">2020-06-04T19:03:00Z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adrian.mansard@ontario.ca</vt:lpwstr>
  </property>
  <property fmtid="{D5CDD505-2E9C-101B-9397-08002B2CF9AE}" pid="5" name="MSIP_Label_034a106e-6316-442c-ad35-738afd673d2b_SetDate">
    <vt:lpwstr>2020-05-25T20:37:28.3023838Z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fe05f2b9-d2fb-4454-8354-d76e636b82fd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